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FA0" w:rsidRPr="00564264" w:rsidRDefault="009C5AEA" w:rsidP="00564264">
      <w:pPr>
        <w:pStyle w:val="Date"/>
        <w:jc w:val="center"/>
        <w:rPr>
          <w:rFonts w:ascii="Copperplate Gothic Bold" w:hAnsi="Copperplate Gothic Bold"/>
          <w:sz w:val="32"/>
          <w:szCs w:val="32"/>
        </w:rPr>
      </w:pPr>
      <w:r>
        <w:rPr>
          <w:noProof/>
          <w:sz w:val="32"/>
          <w:szCs w:val="32"/>
        </w:rPr>
        <w:pict>
          <v:line id="_x0000_s1030" style="position:absolute;left:0;text-align:left;z-index:251658240" from="-5.05pt,10.5pt" to="443.75pt,10.5pt" strokecolor="#333" strokeweight="2pt"/>
        </w:pict>
      </w:r>
      <w:r w:rsidR="008221B1">
        <w:rPr>
          <w:noProof/>
          <w:sz w:val="32"/>
          <w:szCs w:val="32"/>
        </w:rPr>
        <w:drawing>
          <wp:anchor distT="0" distB="0" distL="114300" distR="114300" simplePos="0" relativeHeight="251657216" behindDoc="1" locked="0" layoutInCell="1" allowOverlap="1">
            <wp:simplePos x="0" y="0"/>
            <wp:positionH relativeFrom="column">
              <wp:posOffset>-304800</wp:posOffset>
            </wp:positionH>
            <wp:positionV relativeFrom="paragraph">
              <wp:posOffset>-457200</wp:posOffset>
            </wp:positionV>
            <wp:extent cx="2495550" cy="92392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l="175" t="11650" r="877" b="6796"/>
                    <a:stretch>
                      <a:fillRect/>
                    </a:stretch>
                  </pic:blipFill>
                  <pic:spPr bwMode="auto">
                    <a:xfrm>
                      <a:off x="0" y="0"/>
                      <a:ext cx="2495550" cy="923925"/>
                    </a:xfrm>
                    <a:prstGeom prst="rect">
                      <a:avLst/>
                    </a:prstGeom>
                    <a:noFill/>
                    <a:ln w="9525">
                      <a:noFill/>
                      <a:miter lim="800000"/>
                      <a:headEnd/>
                      <a:tailEnd/>
                    </a:ln>
                  </pic:spPr>
                </pic:pic>
              </a:graphicData>
            </a:graphic>
          </wp:anchor>
        </w:drawing>
      </w:r>
      <w:r w:rsidR="008221B1">
        <w:rPr>
          <w:sz w:val="32"/>
          <w:szCs w:val="32"/>
        </w:rPr>
        <w:br/>
      </w:r>
      <w:r w:rsidR="008221B1">
        <w:rPr>
          <w:sz w:val="32"/>
          <w:szCs w:val="32"/>
        </w:rPr>
        <w:br/>
      </w:r>
      <w:r w:rsidR="0074608C" w:rsidRPr="00564264">
        <w:rPr>
          <w:rFonts w:ascii="Copperplate Gothic Bold" w:hAnsi="Copperplate Gothic Bold"/>
          <w:sz w:val="32"/>
          <w:szCs w:val="32"/>
        </w:rPr>
        <w:t>R</w:t>
      </w:r>
      <w:r w:rsidR="00AA047D" w:rsidRPr="00564264">
        <w:rPr>
          <w:rFonts w:ascii="Copperplate Gothic Bold" w:hAnsi="Copperplate Gothic Bold"/>
          <w:sz w:val="32"/>
          <w:szCs w:val="32"/>
        </w:rPr>
        <w:t>eimbursement Policy &amp; Procedure</w:t>
      </w:r>
    </w:p>
    <w:p w:rsidR="00992FA0" w:rsidRDefault="00992FA0" w:rsidP="00992FA0">
      <w:pPr>
        <w:pStyle w:val="InsideAddress"/>
      </w:pPr>
    </w:p>
    <w:p w:rsidR="00C3049C" w:rsidRPr="00D70542" w:rsidRDefault="0063130F" w:rsidP="00992FA0">
      <w:pPr>
        <w:autoSpaceDE w:val="0"/>
        <w:autoSpaceDN w:val="0"/>
        <w:adjustRightInd w:val="0"/>
        <w:jc w:val="left"/>
        <w:rPr>
          <w:rFonts w:ascii="Century Gothic" w:hAnsi="Century Gothic"/>
          <w:b/>
          <w:sz w:val="24"/>
          <w:szCs w:val="24"/>
          <w:u w:val="single"/>
        </w:rPr>
      </w:pPr>
      <w:r w:rsidRPr="00D70542">
        <w:rPr>
          <w:rFonts w:ascii="Century Gothic" w:hAnsi="Century Gothic"/>
          <w:b/>
          <w:sz w:val="24"/>
          <w:szCs w:val="24"/>
          <w:u w:val="single"/>
        </w:rPr>
        <w:t>APPROVALS</w:t>
      </w:r>
    </w:p>
    <w:p w:rsidR="0063130F" w:rsidRPr="00564264" w:rsidRDefault="0063130F" w:rsidP="00992FA0">
      <w:pPr>
        <w:autoSpaceDE w:val="0"/>
        <w:autoSpaceDN w:val="0"/>
        <w:adjustRightInd w:val="0"/>
        <w:jc w:val="left"/>
        <w:rPr>
          <w:rFonts w:ascii="Century Gothic" w:hAnsi="Century Gothic"/>
          <w:b/>
          <w:sz w:val="22"/>
          <w:szCs w:val="22"/>
        </w:rPr>
      </w:pPr>
    </w:p>
    <w:p w:rsidR="00564264" w:rsidRPr="00564264" w:rsidRDefault="00564264" w:rsidP="00564264">
      <w:pPr>
        <w:pStyle w:val="InsideAddress"/>
        <w:rPr>
          <w:rFonts w:ascii="Century Gothic" w:hAnsi="Century Gothic"/>
          <w:sz w:val="22"/>
          <w:szCs w:val="22"/>
        </w:rPr>
      </w:pPr>
      <w:r w:rsidRPr="00564264">
        <w:rPr>
          <w:rFonts w:ascii="Century Gothic" w:hAnsi="Century Gothic"/>
          <w:b/>
          <w:i/>
          <w:sz w:val="22"/>
          <w:szCs w:val="22"/>
        </w:rPr>
        <w:t>For any expense greater than $25</w:t>
      </w:r>
      <w:r w:rsidRPr="00564264">
        <w:rPr>
          <w:rFonts w:ascii="Century Gothic" w:hAnsi="Century Gothic"/>
          <w:sz w:val="22"/>
          <w:szCs w:val="22"/>
        </w:rPr>
        <w:t>, approval must be obtained from a supervisor as follows:</w:t>
      </w:r>
    </w:p>
    <w:p w:rsidR="00564264" w:rsidRPr="00564264" w:rsidRDefault="00564264" w:rsidP="00564264">
      <w:pPr>
        <w:pStyle w:val="InsideAddress"/>
        <w:rPr>
          <w:rFonts w:ascii="Century Gothic" w:hAnsi="Century Gothic"/>
          <w:sz w:val="22"/>
          <w:szCs w:val="22"/>
        </w:rPr>
      </w:pPr>
    </w:p>
    <w:p w:rsidR="00564264" w:rsidRPr="00564264" w:rsidRDefault="00564264" w:rsidP="00564264">
      <w:pPr>
        <w:pStyle w:val="InsideAddress"/>
        <w:rPr>
          <w:rFonts w:ascii="Century Gothic" w:hAnsi="Century Gothic"/>
          <w:sz w:val="22"/>
          <w:szCs w:val="22"/>
        </w:rPr>
      </w:pPr>
      <w:r w:rsidRPr="00564264">
        <w:rPr>
          <w:rFonts w:ascii="Century Gothic" w:hAnsi="Century Gothic"/>
          <w:sz w:val="22"/>
          <w:szCs w:val="22"/>
        </w:rPr>
        <w:t>Head Pastor: Chairman or Treasurer of the Leadership Team</w:t>
      </w:r>
    </w:p>
    <w:p w:rsidR="00564264" w:rsidRPr="00564264" w:rsidRDefault="00564264" w:rsidP="00564264">
      <w:pPr>
        <w:pStyle w:val="InsideAddress"/>
        <w:rPr>
          <w:rFonts w:ascii="Century Gothic" w:hAnsi="Century Gothic"/>
          <w:sz w:val="22"/>
          <w:szCs w:val="22"/>
        </w:rPr>
      </w:pPr>
      <w:r w:rsidRPr="00564264">
        <w:rPr>
          <w:rFonts w:ascii="Century Gothic" w:hAnsi="Century Gothic"/>
          <w:sz w:val="22"/>
          <w:szCs w:val="22"/>
        </w:rPr>
        <w:t>Leadership Team Members: LT member other than requestor</w:t>
      </w:r>
    </w:p>
    <w:p w:rsidR="00564264" w:rsidRPr="00564264" w:rsidRDefault="00564264" w:rsidP="00564264">
      <w:pPr>
        <w:pStyle w:val="InsideAddress"/>
        <w:rPr>
          <w:rFonts w:ascii="Century Gothic" w:hAnsi="Century Gothic"/>
          <w:sz w:val="22"/>
          <w:szCs w:val="22"/>
        </w:rPr>
      </w:pPr>
      <w:r w:rsidRPr="00564264">
        <w:rPr>
          <w:rFonts w:ascii="Century Gothic" w:hAnsi="Century Gothic"/>
          <w:sz w:val="22"/>
          <w:szCs w:val="22"/>
        </w:rPr>
        <w:t xml:space="preserve">Associate Pastors: Head Pastor </w:t>
      </w:r>
    </w:p>
    <w:p w:rsidR="00564264" w:rsidRPr="00564264" w:rsidRDefault="00564264" w:rsidP="00564264">
      <w:pPr>
        <w:pStyle w:val="InsideAddress"/>
        <w:rPr>
          <w:rFonts w:ascii="Century Gothic" w:hAnsi="Century Gothic"/>
          <w:sz w:val="22"/>
          <w:szCs w:val="22"/>
        </w:rPr>
      </w:pPr>
      <w:r w:rsidRPr="00564264">
        <w:rPr>
          <w:rFonts w:ascii="Century Gothic" w:hAnsi="Century Gothic"/>
          <w:sz w:val="22"/>
          <w:szCs w:val="22"/>
        </w:rPr>
        <w:t xml:space="preserve">Staff: Associate Pastor, Michael Washington </w:t>
      </w:r>
    </w:p>
    <w:p w:rsidR="00564264" w:rsidRPr="00564264" w:rsidRDefault="00564264" w:rsidP="00C3009F">
      <w:pPr>
        <w:pStyle w:val="InsideAddress"/>
        <w:rPr>
          <w:rFonts w:ascii="Century Gothic" w:hAnsi="Century Gothic"/>
          <w:sz w:val="22"/>
          <w:szCs w:val="22"/>
        </w:rPr>
      </w:pPr>
      <w:r w:rsidRPr="00564264">
        <w:rPr>
          <w:rFonts w:ascii="Century Gothic" w:hAnsi="Century Gothic"/>
          <w:sz w:val="22"/>
          <w:szCs w:val="22"/>
        </w:rPr>
        <w:t xml:space="preserve">MTLs: Logan Square – </w:t>
      </w:r>
      <w:r w:rsidR="00C3009F">
        <w:rPr>
          <w:rFonts w:ascii="Century Gothic" w:hAnsi="Century Gothic"/>
          <w:sz w:val="22"/>
          <w:szCs w:val="22"/>
        </w:rPr>
        <w:t>Staff member, Pastor Michael Washington, or Pastor David Swanson, as appropriate</w:t>
      </w:r>
    </w:p>
    <w:p w:rsidR="00564264" w:rsidRPr="00564264" w:rsidRDefault="00564264" w:rsidP="00564264">
      <w:pPr>
        <w:pStyle w:val="InsideAddress"/>
        <w:rPr>
          <w:rFonts w:ascii="Century Gothic" w:hAnsi="Century Gothic"/>
          <w:sz w:val="22"/>
          <w:szCs w:val="22"/>
        </w:rPr>
      </w:pPr>
      <w:r w:rsidRPr="00564264">
        <w:rPr>
          <w:rFonts w:ascii="Century Gothic" w:hAnsi="Century Gothic"/>
          <w:sz w:val="22"/>
          <w:szCs w:val="22"/>
        </w:rPr>
        <w:t>Ministry Team Members – Ministry Team Leader</w:t>
      </w:r>
    </w:p>
    <w:p w:rsidR="00564264" w:rsidRPr="00564264" w:rsidRDefault="00564264" w:rsidP="00564264">
      <w:pPr>
        <w:pStyle w:val="InsideAddress"/>
        <w:rPr>
          <w:rFonts w:ascii="Century Gothic" w:hAnsi="Century Gothic"/>
          <w:sz w:val="22"/>
          <w:szCs w:val="22"/>
        </w:rPr>
      </w:pPr>
    </w:p>
    <w:p w:rsidR="00E40A68" w:rsidRDefault="00564264" w:rsidP="00E40A68">
      <w:pPr>
        <w:pStyle w:val="InsideAddress"/>
        <w:rPr>
          <w:rFonts w:ascii="Century Gothic" w:hAnsi="Century Gothic"/>
          <w:sz w:val="22"/>
          <w:szCs w:val="22"/>
        </w:rPr>
      </w:pPr>
      <w:r w:rsidRPr="00564264">
        <w:rPr>
          <w:rFonts w:ascii="Century Gothic" w:hAnsi="Century Gothic"/>
          <w:sz w:val="22"/>
          <w:szCs w:val="22"/>
        </w:rPr>
        <w:t>For expediency, approvals may be obtained via e-mail.  The approval e-mail should then be attached to the reimbursement request for review</w:t>
      </w:r>
      <w:r w:rsidR="00E40A68">
        <w:rPr>
          <w:rFonts w:ascii="Century Gothic" w:hAnsi="Century Gothic"/>
          <w:sz w:val="22"/>
          <w:szCs w:val="22"/>
        </w:rPr>
        <w:t>.</w:t>
      </w:r>
    </w:p>
    <w:p w:rsidR="00E40A68" w:rsidRDefault="00E40A68" w:rsidP="00E40A68">
      <w:pPr>
        <w:pStyle w:val="InsideAddress"/>
        <w:rPr>
          <w:rFonts w:ascii="Century Gothic" w:hAnsi="Century Gothic"/>
          <w:sz w:val="22"/>
          <w:szCs w:val="22"/>
        </w:rPr>
      </w:pPr>
    </w:p>
    <w:p w:rsidR="00E40A68" w:rsidRDefault="00E40A68" w:rsidP="00E40A68">
      <w:pPr>
        <w:pStyle w:val="InsideAddress"/>
        <w:rPr>
          <w:rFonts w:ascii="Century Gothic" w:hAnsi="Century Gothic"/>
          <w:sz w:val="22"/>
          <w:szCs w:val="22"/>
        </w:rPr>
      </w:pPr>
      <w:r>
        <w:rPr>
          <w:rFonts w:ascii="Century Gothic" w:hAnsi="Century Gothic"/>
          <w:sz w:val="22"/>
          <w:szCs w:val="22"/>
        </w:rPr>
        <w:t xml:space="preserve">If you are unsure about your supervisor, e-mail the Financial Administrator </w:t>
      </w:r>
      <w:r w:rsidR="002D52FF">
        <w:rPr>
          <w:rFonts w:ascii="Century Gothic" w:hAnsi="Century Gothic"/>
          <w:sz w:val="22"/>
          <w:szCs w:val="22"/>
        </w:rPr>
        <w:t xml:space="preserve">at </w:t>
      </w:r>
      <w:hyperlink r:id="rId9" w:history="1">
        <w:r w:rsidR="002D52FF" w:rsidRPr="009E5B79">
          <w:rPr>
            <w:rStyle w:val="Hyperlink"/>
            <w:rFonts w:ascii="Century Gothic" w:hAnsi="Century Gothic"/>
            <w:sz w:val="22"/>
            <w:szCs w:val="22"/>
          </w:rPr>
          <w:t>finance@thenewcom.com</w:t>
        </w:r>
      </w:hyperlink>
      <w:r w:rsidR="002D52FF">
        <w:rPr>
          <w:rFonts w:ascii="Century Gothic" w:hAnsi="Century Gothic"/>
          <w:sz w:val="22"/>
          <w:szCs w:val="22"/>
        </w:rPr>
        <w:t xml:space="preserve"> </w:t>
      </w:r>
      <w:r>
        <w:rPr>
          <w:rFonts w:ascii="Century Gothic" w:hAnsi="Century Gothic"/>
          <w:sz w:val="22"/>
          <w:szCs w:val="22"/>
        </w:rPr>
        <w:t>for clarification.</w:t>
      </w:r>
    </w:p>
    <w:p w:rsidR="00E40A68" w:rsidRPr="00E40A68" w:rsidRDefault="00E40A68" w:rsidP="00E40A68">
      <w:pPr>
        <w:pStyle w:val="InsideAddress"/>
        <w:rPr>
          <w:rFonts w:ascii="Century Gothic" w:hAnsi="Century Gothic"/>
          <w:b/>
          <w:sz w:val="22"/>
          <w:szCs w:val="22"/>
        </w:rPr>
      </w:pPr>
    </w:p>
    <w:p w:rsidR="00C3049C" w:rsidRPr="00D70542" w:rsidRDefault="00C3049C" w:rsidP="00992FA0">
      <w:pPr>
        <w:autoSpaceDE w:val="0"/>
        <w:autoSpaceDN w:val="0"/>
        <w:adjustRightInd w:val="0"/>
        <w:jc w:val="left"/>
        <w:rPr>
          <w:rFonts w:ascii="Century Gothic" w:hAnsi="Century Gothic"/>
          <w:b/>
          <w:sz w:val="24"/>
          <w:szCs w:val="24"/>
          <w:u w:val="single"/>
        </w:rPr>
      </w:pPr>
      <w:r w:rsidRPr="00D70542">
        <w:rPr>
          <w:rFonts w:ascii="Century Gothic" w:hAnsi="Century Gothic"/>
          <w:b/>
          <w:sz w:val="24"/>
          <w:szCs w:val="24"/>
          <w:u w:val="single"/>
        </w:rPr>
        <w:t>INVOICING/PAYMENT</w:t>
      </w:r>
    </w:p>
    <w:p w:rsidR="00C3049C" w:rsidRPr="00564264" w:rsidRDefault="00C3049C" w:rsidP="00992FA0">
      <w:pPr>
        <w:autoSpaceDE w:val="0"/>
        <w:autoSpaceDN w:val="0"/>
        <w:adjustRightInd w:val="0"/>
        <w:jc w:val="left"/>
        <w:rPr>
          <w:rFonts w:ascii="Century Gothic" w:hAnsi="Century Gothic"/>
          <w:b/>
          <w:sz w:val="22"/>
          <w:szCs w:val="22"/>
        </w:rPr>
      </w:pPr>
    </w:p>
    <w:p w:rsidR="00C3049C" w:rsidRPr="00564264" w:rsidRDefault="00C3049C" w:rsidP="00C3049C">
      <w:pPr>
        <w:autoSpaceDE w:val="0"/>
        <w:autoSpaceDN w:val="0"/>
        <w:adjustRightInd w:val="0"/>
        <w:jc w:val="left"/>
        <w:rPr>
          <w:rFonts w:ascii="Century Gothic" w:hAnsi="Century Gothic" w:cs="Arial"/>
          <w:spacing w:val="0"/>
          <w:sz w:val="22"/>
          <w:szCs w:val="22"/>
        </w:rPr>
      </w:pPr>
      <w:r w:rsidRPr="00564264">
        <w:rPr>
          <w:rFonts w:ascii="Century Gothic" w:hAnsi="Century Gothic"/>
          <w:sz w:val="22"/>
          <w:szCs w:val="22"/>
          <w:u w:val="single"/>
        </w:rPr>
        <w:t>The 30-day rule</w:t>
      </w:r>
      <w:r w:rsidRPr="00564264">
        <w:rPr>
          <w:rFonts w:ascii="Century Gothic" w:hAnsi="Century Gothic"/>
          <w:sz w:val="22"/>
          <w:szCs w:val="22"/>
        </w:rPr>
        <w:br/>
      </w:r>
      <w:r w:rsidRPr="00564264">
        <w:rPr>
          <w:rFonts w:ascii="Century Gothic" w:hAnsi="Century Gothic"/>
          <w:sz w:val="22"/>
          <w:szCs w:val="22"/>
        </w:rPr>
        <w:br/>
      </w:r>
      <w:r w:rsidRPr="00564264">
        <w:rPr>
          <w:rFonts w:ascii="Century Gothic" w:hAnsi="Century Gothic" w:cs="Arial"/>
          <w:spacing w:val="0"/>
          <w:sz w:val="22"/>
          <w:szCs w:val="22"/>
        </w:rPr>
        <w:t>All Church expenditures and costs should be charged to their proper source of funds within</w:t>
      </w:r>
    </w:p>
    <w:p w:rsidR="00C3049C" w:rsidRPr="00564264" w:rsidRDefault="00C3049C" w:rsidP="00C3049C">
      <w:pPr>
        <w:pStyle w:val="Date"/>
        <w:jc w:val="left"/>
        <w:rPr>
          <w:rFonts w:ascii="Century Gothic" w:hAnsi="Century Gothic"/>
          <w:sz w:val="22"/>
          <w:szCs w:val="22"/>
        </w:rPr>
      </w:pPr>
      <w:r w:rsidRPr="00564264">
        <w:rPr>
          <w:rFonts w:ascii="Century Gothic" w:hAnsi="Century Gothic" w:cs="Arial"/>
          <w:spacing w:val="0"/>
          <w:sz w:val="22"/>
          <w:szCs w:val="22"/>
        </w:rPr>
        <w:t xml:space="preserve">30 days of their occurrence. Expenditures and costs over 30 days will be posted only on an exception basis. </w:t>
      </w:r>
      <w:r w:rsidRPr="00564264">
        <w:rPr>
          <w:rFonts w:ascii="Century Gothic" w:hAnsi="Century Gothic"/>
          <w:b/>
          <w:sz w:val="22"/>
          <w:szCs w:val="22"/>
        </w:rPr>
        <w:t>All reimbursement requests must be submitted within 30 days of the date of purchase or from the last day of travel.</w:t>
      </w:r>
    </w:p>
    <w:p w:rsidR="00E40A68" w:rsidRPr="00D70542" w:rsidRDefault="00992FA0" w:rsidP="00992FA0">
      <w:pPr>
        <w:autoSpaceDE w:val="0"/>
        <w:autoSpaceDN w:val="0"/>
        <w:adjustRightInd w:val="0"/>
        <w:jc w:val="left"/>
        <w:rPr>
          <w:rFonts w:ascii="Century Gothic" w:hAnsi="Century Gothic"/>
          <w:sz w:val="22"/>
          <w:szCs w:val="22"/>
          <w:u w:val="single"/>
        </w:rPr>
      </w:pPr>
      <w:r w:rsidRPr="00D70542">
        <w:rPr>
          <w:rFonts w:ascii="Century Gothic" w:hAnsi="Century Gothic"/>
          <w:b/>
          <w:sz w:val="24"/>
          <w:szCs w:val="24"/>
          <w:u w:val="single"/>
        </w:rPr>
        <w:t>TAX EXEMPT STATUS</w:t>
      </w:r>
    </w:p>
    <w:p w:rsidR="00992FA0" w:rsidRPr="00564264" w:rsidRDefault="00992FA0" w:rsidP="00992FA0">
      <w:pPr>
        <w:autoSpaceDE w:val="0"/>
        <w:autoSpaceDN w:val="0"/>
        <w:adjustRightInd w:val="0"/>
        <w:jc w:val="left"/>
        <w:rPr>
          <w:rFonts w:ascii="Century Gothic" w:hAnsi="Century Gothic" w:cs="Arial"/>
          <w:spacing w:val="0"/>
          <w:sz w:val="22"/>
          <w:szCs w:val="22"/>
        </w:rPr>
      </w:pPr>
      <w:r w:rsidRPr="00564264">
        <w:rPr>
          <w:rFonts w:ascii="Century Gothic" w:hAnsi="Century Gothic"/>
          <w:sz w:val="22"/>
          <w:szCs w:val="22"/>
        </w:rPr>
        <w:br/>
        <w:t xml:space="preserve">New Community Covenant Church is a tax-exempt institution and as such is </w:t>
      </w:r>
      <w:r w:rsidRPr="00564264">
        <w:rPr>
          <w:rFonts w:ascii="Century Gothic" w:hAnsi="Century Gothic" w:cs="Arial"/>
          <w:spacing w:val="0"/>
          <w:sz w:val="22"/>
          <w:szCs w:val="22"/>
        </w:rPr>
        <w:t>exempt from Sales Tax, Use Tax, Retailer's Occupation Tax, Service Occupation Tax (both state and local), and Service Use Tax in the State of Illinois.</w:t>
      </w:r>
    </w:p>
    <w:p w:rsidR="00992FA0" w:rsidRPr="00564264" w:rsidRDefault="00992FA0" w:rsidP="00992FA0">
      <w:pPr>
        <w:autoSpaceDE w:val="0"/>
        <w:autoSpaceDN w:val="0"/>
        <w:adjustRightInd w:val="0"/>
        <w:jc w:val="left"/>
        <w:rPr>
          <w:rFonts w:ascii="Century Gothic" w:hAnsi="Century Gothic" w:cs="Arial"/>
          <w:spacing w:val="0"/>
          <w:sz w:val="22"/>
          <w:szCs w:val="22"/>
        </w:rPr>
      </w:pPr>
    </w:p>
    <w:p w:rsidR="00992FA0" w:rsidRPr="00564264" w:rsidRDefault="00992FA0" w:rsidP="00992FA0">
      <w:pPr>
        <w:pStyle w:val="ListParagraph"/>
        <w:numPr>
          <w:ilvl w:val="0"/>
          <w:numId w:val="7"/>
        </w:numPr>
        <w:autoSpaceDE w:val="0"/>
        <w:autoSpaceDN w:val="0"/>
        <w:adjustRightInd w:val="0"/>
        <w:jc w:val="left"/>
        <w:rPr>
          <w:rFonts w:ascii="Century Gothic" w:hAnsi="Century Gothic" w:cs="Arial"/>
          <w:spacing w:val="0"/>
          <w:sz w:val="22"/>
          <w:szCs w:val="22"/>
        </w:rPr>
      </w:pPr>
      <w:r w:rsidRPr="00564264">
        <w:rPr>
          <w:rFonts w:ascii="Century Gothic" w:hAnsi="Century Gothic"/>
          <w:sz w:val="22"/>
          <w:szCs w:val="22"/>
          <w:u w:val="single"/>
        </w:rPr>
        <w:t>Use of NC3’s Illinois Tax Exempt Status:</w:t>
      </w:r>
      <w:r w:rsidRPr="00564264">
        <w:rPr>
          <w:rFonts w:ascii="Century Gothic" w:hAnsi="Century Gothic"/>
          <w:sz w:val="22"/>
          <w:szCs w:val="22"/>
        </w:rPr>
        <w:t xml:space="preserve"> </w:t>
      </w:r>
      <w:r w:rsidRPr="00564264">
        <w:rPr>
          <w:rFonts w:ascii="Century Gothic" w:hAnsi="Century Gothic" w:cs="Arial"/>
          <w:spacing w:val="0"/>
          <w:sz w:val="22"/>
          <w:szCs w:val="22"/>
        </w:rPr>
        <w:t>This tax exemption is to be used exclusively to make purchases for use by New Community and is not for personal use by individuals. New Community’s tax-exempt status is a very serious issue and the integrity of how it is utilized must be protected, due to the potential for abuse. Misuse of the Church’s tax privileges could be detrimental to New Community’s tax-exempt status.</w:t>
      </w:r>
    </w:p>
    <w:p w:rsidR="00992FA0" w:rsidRPr="00564264" w:rsidRDefault="00992FA0" w:rsidP="00992FA0">
      <w:pPr>
        <w:autoSpaceDE w:val="0"/>
        <w:autoSpaceDN w:val="0"/>
        <w:adjustRightInd w:val="0"/>
        <w:jc w:val="left"/>
        <w:rPr>
          <w:rFonts w:ascii="Century Gothic" w:hAnsi="Century Gothic" w:cs="Arial"/>
          <w:spacing w:val="0"/>
          <w:sz w:val="22"/>
          <w:szCs w:val="22"/>
        </w:rPr>
      </w:pPr>
    </w:p>
    <w:p w:rsidR="001F5E07" w:rsidRPr="001F5E07" w:rsidRDefault="00992FA0" w:rsidP="001F5E07">
      <w:pPr>
        <w:pStyle w:val="ListParagraph"/>
        <w:numPr>
          <w:ilvl w:val="0"/>
          <w:numId w:val="7"/>
        </w:numPr>
        <w:autoSpaceDE w:val="0"/>
        <w:autoSpaceDN w:val="0"/>
        <w:adjustRightInd w:val="0"/>
        <w:jc w:val="left"/>
        <w:rPr>
          <w:rFonts w:ascii="Century Gothic" w:hAnsi="Century Gothic"/>
          <w:sz w:val="22"/>
          <w:szCs w:val="22"/>
        </w:rPr>
      </w:pPr>
      <w:r w:rsidRPr="00564264">
        <w:rPr>
          <w:rFonts w:ascii="Century Gothic" w:hAnsi="Century Gothic"/>
          <w:sz w:val="22"/>
          <w:szCs w:val="22"/>
          <w:u w:val="single"/>
        </w:rPr>
        <w:lastRenderedPageBreak/>
        <w:t>Exceptions:</w:t>
      </w:r>
      <w:r w:rsidRPr="00564264">
        <w:rPr>
          <w:rFonts w:ascii="Century Gothic" w:hAnsi="Century Gothic"/>
          <w:sz w:val="22"/>
          <w:szCs w:val="22"/>
        </w:rPr>
        <w:t xml:space="preserve"> </w:t>
      </w:r>
      <w:r w:rsidRPr="00564264">
        <w:rPr>
          <w:rFonts w:ascii="Century Gothic" w:hAnsi="Century Gothic" w:cs="Arial"/>
          <w:spacing w:val="0"/>
          <w:sz w:val="22"/>
          <w:szCs w:val="22"/>
        </w:rPr>
        <w:t>The Church is not exempt from Food and Lodging Tax on hotel rooms and restaurant meals. Exceptions to this rule apply to catered type meetings and events, which fall under Sales and Use Tax. However, please note that the Church is NOT exempt from other taxes associated with these types of events, such as City Tax, A/V Equipment Tax, Occupancy Tax, Entertainment Tax, etc.</w:t>
      </w:r>
      <w:r w:rsidR="001F5E07">
        <w:rPr>
          <w:rFonts w:ascii="Century Gothic" w:hAnsi="Century Gothic" w:cs="Arial"/>
          <w:spacing w:val="0"/>
          <w:sz w:val="22"/>
          <w:szCs w:val="22"/>
        </w:rPr>
        <w:br/>
        <w:t>S</w:t>
      </w:r>
      <w:r w:rsidR="001F5E07" w:rsidRPr="001F5E07">
        <w:rPr>
          <w:rFonts w:ascii="Century Gothic" w:hAnsi="Century Gothic"/>
          <w:sz w:val="22"/>
          <w:szCs w:val="22"/>
        </w:rPr>
        <w:t xml:space="preserve">ee </w:t>
      </w:r>
      <w:r w:rsidR="001F5E07">
        <w:rPr>
          <w:rFonts w:ascii="Century Gothic" w:hAnsi="Century Gothic"/>
          <w:sz w:val="22"/>
          <w:szCs w:val="22"/>
        </w:rPr>
        <w:t>Illinois Administrative Code</w:t>
      </w:r>
      <w:r w:rsidR="00C539FA">
        <w:rPr>
          <w:rFonts w:ascii="Century Gothic" w:hAnsi="Century Gothic"/>
          <w:sz w:val="22"/>
          <w:szCs w:val="22"/>
        </w:rPr>
        <w:t>,</w:t>
      </w:r>
      <w:r w:rsidR="001F5E07">
        <w:rPr>
          <w:rFonts w:ascii="Century Gothic" w:hAnsi="Century Gothic"/>
          <w:sz w:val="22"/>
          <w:szCs w:val="22"/>
        </w:rPr>
        <w:t xml:space="preserve"> </w:t>
      </w:r>
      <w:hyperlink r:id="rId10" w:history="1">
        <w:r w:rsidR="001F5E07" w:rsidRPr="00C539FA">
          <w:rPr>
            <w:rStyle w:val="Hyperlink"/>
            <w:rFonts w:ascii="Century Gothic" w:hAnsi="Century Gothic"/>
            <w:sz w:val="22"/>
            <w:szCs w:val="22"/>
          </w:rPr>
          <w:t>Section 130</w:t>
        </w:r>
        <w:r w:rsidR="001F5E07" w:rsidRPr="00C539FA">
          <w:rPr>
            <w:rStyle w:val="Hyperlink"/>
            <w:rFonts w:ascii="Century Gothic" w:hAnsi="Century Gothic"/>
            <w:sz w:val="22"/>
            <w:szCs w:val="22"/>
          </w:rPr>
          <w:t>.</w:t>
        </w:r>
        <w:r w:rsidR="001F5E07" w:rsidRPr="00C539FA">
          <w:rPr>
            <w:rStyle w:val="Hyperlink"/>
            <w:rFonts w:ascii="Century Gothic" w:hAnsi="Century Gothic"/>
            <w:sz w:val="22"/>
            <w:szCs w:val="22"/>
          </w:rPr>
          <w:t>120</w:t>
        </w:r>
      </w:hyperlink>
      <w:r w:rsidR="001F5E07">
        <w:rPr>
          <w:rFonts w:ascii="Century Gothic" w:hAnsi="Century Gothic"/>
          <w:sz w:val="22"/>
          <w:szCs w:val="22"/>
        </w:rPr>
        <w:t xml:space="preserve"> for a complete listing of sales tax exemptions.</w:t>
      </w:r>
    </w:p>
    <w:p w:rsidR="00992FA0" w:rsidRPr="00564264" w:rsidRDefault="00992FA0" w:rsidP="00992FA0">
      <w:pPr>
        <w:pStyle w:val="ListParagraph"/>
        <w:rPr>
          <w:rFonts w:ascii="Century Gothic" w:hAnsi="Century Gothic"/>
          <w:sz w:val="22"/>
          <w:szCs w:val="22"/>
        </w:rPr>
      </w:pPr>
    </w:p>
    <w:p w:rsidR="00992FA0" w:rsidRPr="00564264" w:rsidRDefault="00992FA0" w:rsidP="00992FA0">
      <w:pPr>
        <w:autoSpaceDE w:val="0"/>
        <w:autoSpaceDN w:val="0"/>
        <w:adjustRightInd w:val="0"/>
        <w:jc w:val="left"/>
        <w:rPr>
          <w:rFonts w:ascii="Century Gothic" w:hAnsi="Century Gothic"/>
          <w:sz w:val="22"/>
          <w:szCs w:val="22"/>
        </w:rPr>
      </w:pPr>
      <w:r w:rsidRPr="00564264">
        <w:rPr>
          <w:rFonts w:ascii="Century Gothic" w:hAnsi="Century Gothic"/>
          <w:sz w:val="22"/>
          <w:szCs w:val="22"/>
        </w:rPr>
        <w:t>The Church Office keeps information related to New Community’s tax-exempt status on file</w:t>
      </w:r>
      <w:r w:rsidR="00C3049C" w:rsidRPr="00564264">
        <w:rPr>
          <w:rFonts w:ascii="Century Gothic" w:hAnsi="Century Gothic"/>
          <w:sz w:val="22"/>
          <w:szCs w:val="22"/>
        </w:rPr>
        <w:t>.  An Illinois tax-exempt one-time use letter is available for use by members of New Community engaging in business for the Church.  To request a copy, e-mail the F</w:t>
      </w:r>
      <w:r w:rsidR="004C75B4">
        <w:rPr>
          <w:rFonts w:ascii="Century Gothic" w:hAnsi="Century Gothic"/>
          <w:sz w:val="22"/>
          <w:szCs w:val="22"/>
        </w:rPr>
        <w:t>inancial Administrator</w:t>
      </w:r>
      <w:r w:rsidR="00C3049C" w:rsidRPr="00564264">
        <w:rPr>
          <w:rFonts w:ascii="Century Gothic" w:hAnsi="Century Gothic"/>
          <w:sz w:val="22"/>
          <w:szCs w:val="22"/>
        </w:rPr>
        <w:t>.</w:t>
      </w:r>
    </w:p>
    <w:p w:rsidR="00C3049C" w:rsidRPr="00564264" w:rsidRDefault="00C3049C" w:rsidP="00992FA0">
      <w:pPr>
        <w:autoSpaceDE w:val="0"/>
        <w:autoSpaceDN w:val="0"/>
        <w:adjustRightInd w:val="0"/>
        <w:jc w:val="left"/>
        <w:rPr>
          <w:rFonts w:ascii="Century Gothic" w:hAnsi="Century Gothic"/>
          <w:sz w:val="22"/>
          <w:szCs w:val="22"/>
        </w:rPr>
      </w:pPr>
    </w:p>
    <w:p w:rsidR="00C3049C" w:rsidRPr="00564264" w:rsidRDefault="00C3049C" w:rsidP="00C3049C">
      <w:pPr>
        <w:autoSpaceDE w:val="0"/>
        <w:autoSpaceDN w:val="0"/>
        <w:adjustRightInd w:val="0"/>
        <w:jc w:val="left"/>
        <w:rPr>
          <w:rFonts w:ascii="Century Gothic" w:hAnsi="Century Gothic" w:cs="Arial"/>
          <w:spacing w:val="0"/>
          <w:sz w:val="22"/>
          <w:szCs w:val="22"/>
        </w:rPr>
      </w:pPr>
      <w:r w:rsidRPr="00564264">
        <w:rPr>
          <w:rFonts w:ascii="Century Gothic" w:hAnsi="Century Gothic" w:cs="Arial"/>
          <w:spacing w:val="0"/>
          <w:sz w:val="22"/>
          <w:szCs w:val="22"/>
          <w:u w:val="single"/>
        </w:rPr>
        <w:t>Reimbursement for Taxes.</w:t>
      </w:r>
      <w:r w:rsidRPr="00564264">
        <w:rPr>
          <w:rFonts w:ascii="Century Gothic" w:hAnsi="Century Gothic" w:cs="Arial"/>
          <w:spacing w:val="0"/>
          <w:sz w:val="22"/>
          <w:szCs w:val="22"/>
        </w:rPr>
        <w:t xml:space="preserve"> Since the Church is exempt from paying Sales and Use Tax, these taxes are generally not reimbursable when an employee has extended personal funds for the purchase. A special exemption may be requested from the Financial Administrator in cases where it can be clearly demonstrated that the purchase and payment of tax was unavoidable or an emergency. This should be rare.</w:t>
      </w:r>
    </w:p>
    <w:p w:rsidR="00992FA0" w:rsidRPr="00564264" w:rsidRDefault="00992FA0" w:rsidP="00992FA0">
      <w:pPr>
        <w:autoSpaceDE w:val="0"/>
        <w:autoSpaceDN w:val="0"/>
        <w:adjustRightInd w:val="0"/>
        <w:jc w:val="left"/>
        <w:rPr>
          <w:rFonts w:ascii="Century Gothic" w:hAnsi="Century Gothic"/>
          <w:sz w:val="22"/>
          <w:szCs w:val="22"/>
        </w:rPr>
      </w:pPr>
    </w:p>
    <w:p w:rsidR="00564264" w:rsidRPr="00D70542" w:rsidRDefault="00E40A68" w:rsidP="00DB17EB">
      <w:pPr>
        <w:pStyle w:val="InsideAddress"/>
        <w:rPr>
          <w:rFonts w:ascii="Century Gothic" w:hAnsi="Century Gothic"/>
          <w:b/>
          <w:sz w:val="24"/>
          <w:szCs w:val="24"/>
          <w:u w:val="single"/>
        </w:rPr>
      </w:pPr>
      <w:r w:rsidRPr="00D70542">
        <w:rPr>
          <w:rFonts w:ascii="Century Gothic" w:hAnsi="Century Gothic"/>
          <w:b/>
          <w:sz w:val="24"/>
          <w:szCs w:val="24"/>
          <w:u w:val="single"/>
        </w:rPr>
        <w:t>PROCESS</w:t>
      </w:r>
    </w:p>
    <w:p w:rsidR="00564264" w:rsidRPr="00564264" w:rsidRDefault="00564264" w:rsidP="00DB17EB">
      <w:pPr>
        <w:pStyle w:val="InsideAddress"/>
        <w:rPr>
          <w:rFonts w:ascii="Century Gothic" w:hAnsi="Century Gothic"/>
          <w:sz w:val="22"/>
          <w:szCs w:val="22"/>
        </w:rPr>
      </w:pPr>
    </w:p>
    <w:p w:rsidR="00304E1F" w:rsidRPr="00564264" w:rsidRDefault="00DB17EB" w:rsidP="00DB17EB">
      <w:pPr>
        <w:pStyle w:val="InsideAddress"/>
        <w:rPr>
          <w:rFonts w:ascii="Century Gothic" w:hAnsi="Century Gothic"/>
          <w:sz w:val="22"/>
          <w:szCs w:val="22"/>
        </w:rPr>
      </w:pPr>
      <w:r w:rsidRPr="00564264">
        <w:rPr>
          <w:rFonts w:ascii="Century Gothic" w:hAnsi="Century Gothic"/>
          <w:sz w:val="22"/>
          <w:szCs w:val="22"/>
        </w:rPr>
        <w:t>The person incurring the expense will complete a reimbursement form and</w:t>
      </w:r>
      <w:r w:rsidR="00564264" w:rsidRPr="00564264">
        <w:rPr>
          <w:rFonts w:ascii="Century Gothic" w:hAnsi="Century Gothic"/>
          <w:sz w:val="22"/>
          <w:szCs w:val="22"/>
        </w:rPr>
        <w:t xml:space="preserve"> </w:t>
      </w:r>
      <w:r w:rsidRPr="00564264">
        <w:rPr>
          <w:rFonts w:ascii="Century Gothic" w:hAnsi="Century Gothic"/>
          <w:sz w:val="22"/>
          <w:szCs w:val="22"/>
        </w:rPr>
        <w:t>ob</w:t>
      </w:r>
      <w:r w:rsidR="00FF0D08" w:rsidRPr="00564264">
        <w:rPr>
          <w:rFonts w:ascii="Century Gothic" w:hAnsi="Century Gothic"/>
          <w:sz w:val="22"/>
          <w:szCs w:val="22"/>
        </w:rPr>
        <w:t>tain the necessary signature(s) from their supervisor</w:t>
      </w:r>
      <w:r w:rsidR="00564264" w:rsidRPr="00564264">
        <w:rPr>
          <w:rFonts w:ascii="Century Gothic" w:hAnsi="Century Gothic"/>
          <w:sz w:val="22"/>
          <w:szCs w:val="22"/>
        </w:rPr>
        <w:t>(s).</w:t>
      </w:r>
    </w:p>
    <w:p w:rsidR="00DB17EB" w:rsidRPr="00564264" w:rsidRDefault="00FF0D08" w:rsidP="00DB17EB">
      <w:pPr>
        <w:pStyle w:val="InsideAddress"/>
        <w:rPr>
          <w:rFonts w:ascii="Century Gothic" w:hAnsi="Century Gothic"/>
          <w:sz w:val="22"/>
          <w:szCs w:val="22"/>
        </w:rPr>
      </w:pPr>
      <w:r w:rsidRPr="00564264">
        <w:rPr>
          <w:rFonts w:ascii="Century Gothic" w:hAnsi="Century Gothic"/>
          <w:sz w:val="22"/>
          <w:szCs w:val="22"/>
        </w:rPr>
        <w:br/>
      </w:r>
      <w:r w:rsidR="00DB17EB" w:rsidRPr="00564264">
        <w:rPr>
          <w:rFonts w:ascii="Century Gothic" w:hAnsi="Century Gothic"/>
          <w:sz w:val="22"/>
          <w:szCs w:val="22"/>
        </w:rPr>
        <w:t xml:space="preserve">All original, itemized receipts should be </w:t>
      </w:r>
      <w:r w:rsidR="00DB17EB" w:rsidRPr="00564264">
        <w:rPr>
          <w:rFonts w:ascii="Century Gothic" w:hAnsi="Century Gothic"/>
          <w:b/>
          <w:i/>
          <w:sz w:val="22"/>
          <w:szCs w:val="22"/>
        </w:rPr>
        <w:t xml:space="preserve">taped </w:t>
      </w:r>
      <w:r w:rsidRPr="00564264">
        <w:rPr>
          <w:rFonts w:ascii="Century Gothic" w:hAnsi="Century Gothic"/>
          <w:b/>
          <w:i/>
          <w:sz w:val="22"/>
          <w:szCs w:val="22"/>
        </w:rPr>
        <w:t>securely</w:t>
      </w:r>
      <w:r w:rsidRPr="00564264">
        <w:rPr>
          <w:rFonts w:ascii="Century Gothic" w:hAnsi="Century Gothic"/>
          <w:sz w:val="22"/>
          <w:szCs w:val="22"/>
        </w:rPr>
        <w:t xml:space="preserve"> </w:t>
      </w:r>
      <w:r w:rsidR="00DB17EB" w:rsidRPr="00564264">
        <w:rPr>
          <w:rFonts w:ascii="Century Gothic" w:hAnsi="Century Gothic"/>
          <w:sz w:val="22"/>
          <w:szCs w:val="22"/>
        </w:rPr>
        <w:t xml:space="preserve">(in order, from oldest to newest) to standard 81/2 by 11 paper.  Receipts can be taped </w:t>
      </w:r>
      <w:r w:rsidRPr="00564264">
        <w:rPr>
          <w:rFonts w:ascii="Century Gothic" w:hAnsi="Century Gothic"/>
          <w:sz w:val="22"/>
          <w:szCs w:val="22"/>
        </w:rPr>
        <w:t xml:space="preserve">to both sides of the sheet(s).  </w:t>
      </w:r>
    </w:p>
    <w:p w:rsidR="00DB17EB" w:rsidRPr="00564264" w:rsidRDefault="00FF0D08" w:rsidP="00DB17EB">
      <w:pPr>
        <w:pStyle w:val="InsideAddress"/>
        <w:rPr>
          <w:rFonts w:ascii="Century Gothic" w:hAnsi="Century Gothic"/>
          <w:sz w:val="22"/>
          <w:szCs w:val="22"/>
        </w:rPr>
      </w:pPr>
      <w:r w:rsidRPr="00564264">
        <w:rPr>
          <w:rFonts w:ascii="Century Gothic" w:hAnsi="Century Gothic"/>
          <w:sz w:val="22"/>
          <w:szCs w:val="22"/>
        </w:rPr>
        <w:br/>
      </w:r>
      <w:r w:rsidR="00DB17EB" w:rsidRPr="00564264">
        <w:rPr>
          <w:rFonts w:ascii="Century Gothic" w:hAnsi="Century Gothic"/>
          <w:sz w:val="22"/>
          <w:szCs w:val="22"/>
        </w:rPr>
        <w:t>The completed reimbursement form along with receipts should be submitted to the NCCC Financial Administrator for review either by mail or dropped off in person</w:t>
      </w:r>
      <w:r w:rsidR="00B9714E" w:rsidRPr="00564264">
        <w:rPr>
          <w:rFonts w:ascii="Century Gothic" w:hAnsi="Century Gothic"/>
          <w:sz w:val="22"/>
          <w:szCs w:val="22"/>
        </w:rPr>
        <w:t xml:space="preserve"> to:</w:t>
      </w:r>
    </w:p>
    <w:p w:rsidR="00B9714E" w:rsidRPr="00564264" w:rsidRDefault="00B9714E" w:rsidP="00DB17EB">
      <w:pPr>
        <w:pStyle w:val="InsideAddress"/>
        <w:rPr>
          <w:rFonts w:ascii="Century Gothic" w:hAnsi="Century Gothic"/>
          <w:sz w:val="22"/>
          <w:szCs w:val="22"/>
        </w:rPr>
      </w:pPr>
    </w:p>
    <w:p w:rsidR="00B9714E" w:rsidRPr="00564264" w:rsidRDefault="00B9714E" w:rsidP="00DB17EB">
      <w:pPr>
        <w:pStyle w:val="InsideAddress"/>
        <w:rPr>
          <w:rFonts w:ascii="Century Gothic" w:hAnsi="Century Gothic"/>
          <w:sz w:val="22"/>
          <w:szCs w:val="22"/>
        </w:rPr>
      </w:pPr>
      <w:r w:rsidRPr="00564264">
        <w:rPr>
          <w:rFonts w:ascii="Century Gothic" w:hAnsi="Century Gothic"/>
          <w:sz w:val="22"/>
          <w:szCs w:val="22"/>
        </w:rPr>
        <w:t>NCCC Financial Administrator</w:t>
      </w:r>
    </w:p>
    <w:p w:rsidR="00B9714E" w:rsidRPr="00564264" w:rsidRDefault="00B9714E" w:rsidP="00DB17EB">
      <w:pPr>
        <w:pStyle w:val="InsideAddress"/>
        <w:rPr>
          <w:rFonts w:ascii="Century Gothic" w:hAnsi="Century Gothic"/>
          <w:sz w:val="22"/>
          <w:szCs w:val="22"/>
        </w:rPr>
      </w:pPr>
      <w:r w:rsidRPr="00564264">
        <w:rPr>
          <w:rFonts w:ascii="Century Gothic" w:hAnsi="Century Gothic"/>
          <w:sz w:val="22"/>
          <w:szCs w:val="22"/>
        </w:rPr>
        <w:t>2804 W Belmont Ave, Suite 101</w:t>
      </w:r>
    </w:p>
    <w:p w:rsidR="00B9714E" w:rsidRPr="00564264" w:rsidRDefault="00B9714E" w:rsidP="00DB17EB">
      <w:pPr>
        <w:pStyle w:val="InsideAddress"/>
        <w:rPr>
          <w:rFonts w:ascii="Century Gothic" w:hAnsi="Century Gothic"/>
          <w:sz w:val="22"/>
          <w:szCs w:val="22"/>
        </w:rPr>
      </w:pPr>
      <w:r w:rsidRPr="00564264">
        <w:rPr>
          <w:rFonts w:ascii="Century Gothic" w:hAnsi="Century Gothic"/>
          <w:sz w:val="22"/>
          <w:szCs w:val="22"/>
        </w:rPr>
        <w:t>Chicago, IL 60618</w:t>
      </w:r>
    </w:p>
    <w:p w:rsidR="00DB17EB" w:rsidRPr="00564264" w:rsidRDefault="00FF0D08" w:rsidP="00DB17EB">
      <w:pPr>
        <w:pStyle w:val="InsideAddress"/>
        <w:rPr>
          <w:rFonts w:ascii="Century Gothic" w:hAnsi="Century Gothic"/>
          <w:sz w:val="22"/>
          <w:szCs w:val="22"/>
        </w:rPr>
      </w:pPr>
      <w:r w:rsidRPr="00564264">
        <w:rPr>
          <w:rFonts w:ascii="Century Gothic" w:hAnsi="Century Gothic"/>
          <w:sz w:val="22"/>
          <w:szCs w:val="22"/>
        </w:rPr>
        <w:br/>
      </w:r>
      <w:r w:rsidR="00DB17EB" w:rsidRPr="00564264">
        <w:rPr>
          <w:rFonts w:ascii="Century Gothic" w:hAnsi="Century Gothic"/>
          <w:sz w:val="22"/>
          <w:szCs w:val="22"/>
        </w:rPr>
        <w:t xml:space="preserve">It is the Financial Administrator’s responsibility to acknowledge receipt of the reimbursement request via e-mail.  </w:t>
      </w:r>
    </w:p>
    <w:p w:rsidR="00DB17EB" w:rsidRPr="00564264" w:rsidRDefault="00FF0D08" w:rsidP="00DB17EB">
      <w:pPr>
        <w:pStyle w:val="InsideAddress"/>
        <w:rPr>
          <w:rFonts w:ascii="Century Gothic" w:hAnsi="Century Gothic"/>
          <w:sz w:val="22"/>
          <w:szCs w:val="22"/>
        </w:rPr>
      </w:pPr>
      <w:r w:rsidRPr="00564264">
        <w:rPr>
          <w:rFonts w:ascii="Century Gothic" w:hAnsi="Century Gothic"/>
          <w:sz w:val="22"/>
          <w:szCs w:val="22"/>
        </w:rPr>
        <w:br/>
      </w:r>
      <w:r w:rsidR="00DB17EB" w:rsidRPr="00564264">
        <w:rPr>
          <w:rFonts w:ascii="Century Gothic" w:hAnsi="Century Gothic"/>
          <w:sz w:val="22"/>
          <w:szCs w:val="22"/>
        </w:rPr>
        <w:t xml:space="preserve">The Financial Administrator will process all reimbursement requests within </w:t>
      </w:r>
      <w:r w:rsidR="00DB17EB" w:rsidRPr="00564264">
        <w:rPr>
          <w:rFonts w:ascii="Century Gothic" w:hAnsi="Century Gothic"/>
          <w:b/>
          <w:i/>
          <w:sz w:val="22"/>
          <w:szCs w:val="22"/>
        </w:rPr>
        <w:t>7 business</w:t>
      </w:r>
      <w:r w:rsidR="00DB17EB" w:rsidRPr="00564264">
        <w:rPr>
          <w:rFonts w:ascii="Century Gothic" w:hAnsi="Century Gothic"/>
          <w:sz w:val="22"/>
          <w:szCs w:val="22"/>
        </w:rPr>
        <w:t xml:space="preserve"> </w:t>
      </w:r>
      <w:r w:rsidR="00DB17EB" w:rsidRPr="00564264">
        <w:rPr>
          <w:rFonts w:ascii="Century Gothic" w:hAnsi="Century Gothic"/>
          <w:b/>
          <w:i/>
          <w:sz w:val="22"/>
          <w:szCs w:val="22"/>
        </w:rPr>
        <w:t>days</w:t>
      </w:r>
      <w:r w:rsidR="00DB17EB" w:rsidRPr="00564264">
        <w:rPr>
          <w:rFonts w:ascii="Century Gothic" w:hAnsi="Century Gothic"/>
          <w:sz w:val="22"/>
          <w:szCs w:val="22"/>
        </w:rPr>
        <w:t xml:space="preserve"> of receipt. </w:t>
      </w:r>
    </w:p>
    <w:p w:rsidR="00DB17EB" w:rsidRPr="00564264" w:rsidRDefault="00FF0D08" w:rsidP="00DB17EB">
      <w:pPr>
        <w:pStyle w:val="InsideAddress"/>
        <w:rPr>
          <w:rFonts w:ascii="Century Gothic" w:hAnsi="Century Gothic"/>
          <w:sz w:val="22"/>
          <w:szCs w:val="22"/>
        </w:rPr>
      </w:pPr>
      <w:r w:rsidRPr="00564264">
        <w:rPr>
          <w:rFonts w:ascii="Century Gothic" w:hAnsi="Century Gothic"/>
          <w:sz w:val="22"/>
          <w:szCs w:val="22"/>
        </w:rPr>
        <w:br/>
      </w:r>
      <w:r w:rsidR="00DB17EB" w:rsidRPr="00564264">
        <w:rPr>
          <w:rFonts w:ascii="Century Gothic" w:hAnsi="Century Gothic"/>
          <w:sz w:val="22"/>
          <w:szCs w:val="22"/>
        </w:rPr>
        <w:t>A successful review will result in a check being cut and mailed to the address provided by the requestor.</w:t>
      </w:r>
    </w:p>
    <w:p w:rsidR="00DB17EB" w:rsidRPr="00564264" w:rsidRDefault="008E20A4" w:rsidP="00DB17EB">
      <w:pPr>
        <w:pStyle w:val="InsideAddress"/>
        <w:rPr>
          <w:rFonts w:ascii="Century Gothic" w:hAnsi="Century Gothic"/>
          <w:sz w:val="22"/>
          <w:szCs w:val="22"/>
        </w:rPr>
      </w:pPr>
      <w:r>
        <w:rPr>
          <w:rFonts w:ascii="Century Gothic" w:hAnsi="Century Gothic"/>
          <w:sz w:val="22"/>
          <w:szCs w:val="22"/>
        </w:rPr>
        <w:lastRenderedPageBreak/>
        <w:br/>
      </w:r>
      <w:r w:rsidR="00DB17EB" w:rsidRPr="00564264">
        <w:rPr>
          <w:rFonts w:ascii="Century Gothic" w:hAnsi="Century Gothic"/>
          <w:sz w:val="22"/>
          <w:szCs w:val="22"/>
        </w:rPr>
        <w:t xml:space="preserve">An unsuccessful review will result in written communication (either via e-mail or postal mail) providing an explanation for the denial of the </w:t>
      </w:r>
      <w:r w:rsidR="00FF0D08" w:rsidRPr="00564264">
        <w:rPr>
          <w:rFonts w:ascii="Century Gothic" w:hAnsi="Century Gothic"/>
          <w:sz w:val="22"/>
          <w:szCs w:val="22"/>
        </w:rPr>
        <w:t>reimbursement request.</w:t>
      </w:r>
    </w:p>
    <w:p w:rsidR="0074608C" w:rsidRDefault="008E20A4" w:rsidP="00D70542">
      <w:pPr>
        <w:pStyle w:val="InsideAddressName"/>
        <w:tabs>
          <w:tab w:val="left" w:pos="3090"/>
        </w:tabs>
        <w:rPr>
          <w:rFonts w:ascii="Century Gothic" w:hAnsi="Century Gothic"/>
          <w:b/>
          <w:sz w:val="22"/>
          <w:szCs w:val="22"/>
          <w:u w:val="single"/>
        </w:rPr>
      </w:pPr>
      <w:r>
        <w:rPr>
          <w:rFonts w:ascii="Century Gothic" w:hAnsi="Century Gothic"/>
          <w:b/>
          <w:sz w:val="22"/>
          <w:szCs w:val="22"/>
          <w:u w:val="single"/>
        </w:rPr>
        <w:t>HELPFUL DEFINITIONS</w:t>
      </w:r>
    </w:p>
    <w:p w:rsidR="00D70542" w:rsidRPr="00D70542" w:rsidRDefault="00D70542" w:rsidP="00D70542">
      <w:pPr>
        <w:pStyle w:val="InsideAddress"/>
      </w:pPr>
    </w:p>
    <w:p w:rsidR="008E20A4" w:rsidRDefault="00AA047D" w:rsidP="00AA047D">
      <w:pPr>
        <w:pStyle w:val="InsideAddress"/>
        <w:rPr>
          <w:rFonts w:ascii="Century Gothic" w:hAnsi="Century Gothic"/>
          <w:sz w:val="22"/>
          <w:szCs w:val="22"/>
        </w:rPr>
      </w:pPr>
      <w:r w:rsidRPr="00564264">
        <w:rPr>
          <w:rFonts w:ascii="Century Gothic" w:hAnsi="Century Gothic"/>
          <w:b/>
          <w:sz w:val="22"/>
          <w:szCs w:val="22"/>
        </w:rPr>
        <w:t>Budget Category</w:t>
      </w:r>
      <w:r w:rsidRPr="00564264">
        <w:rPr>
          <w:rFonts w:ascii="Century Gothic" w:hAnsi="Century Gothic"/>
          <w:sz w:val="22"/>
          <w:szCs w:val="22"/>
        </w:rPr>
        <w:t xml:space="preserve"> – refers to the overall category of e</w:t>
      </w:r>
      <w:r w:rsidR="008E20A4">
        <w:rPr>
          <w:rFonts w:ascii="Century Gothic" w:hAnsi="Century Gothic"/>
          <w:sz w:val="22"/>
          <w:szCs w:val="22"/>
        </w:rPr>
        <w:t>xpense, f</w:t>
      </w:r>
      <w:r w:rsidR="00564264">
        <w:rPr>
          <w:rFonts w:ascii="Century Gothic" w:hAnsi="Century Gothic"/>
          <w:sz w:val="22"/>
          <w:szCs w:val="22"/>
        </w:rPr>
        <w:t>or example,</w:t>
      </w:r>
      <w:r w:rsidR="008E20A4">
        <w:rPr>
          <w:rFonts w:ascii="Century Gothic" w:hAnsi="Century Gothic"/>
          <w:sz w:val="22"/>
          <w:szCs w:val="22"/>
        </w:rPr>
        <w:t xml:space="preserve"> “Community Life”</w:t>
      </w:r>
      <w:r w:rsidR="00564264">
        <w:rPr>
          <w:rFonts w:ascii="Century Gothic" w:hAnsi="Century Gothic"/>
          <w:sz w:val="22"/>
          <w:szCs w:val="22"/>
        </w:rPr>
        <w:t xml:space="preserve"> </w:t>
      </w:r>
    </w:p>
    <w:p w:rsidR="00032C8F" w:rsidRPr="00564264" w:rsidRDefault="00AA047D" w:rsidP="00AA047D">
      <w:pPr>
        <w:pStyle w:val="InsideAddress"/>
        <w:rPr>
          <w:rFonts w:ascii="Century Gothic" w:hAnsi="Century Gothic"/>
          <w:sz w:val="22"/>
          <w:szCs w:val="22"/>
        </w:rPr>
      </w:pPr>
      <w:r w:rsidRPr="00564264">
        <w:rPr>
          <w:rFonts w:ascii="Century Gothic" w:hAnsi="Century Gothic"/>
          <w:b/>
          <w:sz w:val="22"/>
          <w:szCs w:val="22"/>
        </w:rPr>
        <w:t>Account</w:t>
      </w:r>
      <w:r w:rsidRPr="00564264">
        <w:rPr>
          <w:rFonts w:ascii="Century Gothic" w:hAnsi="Century Gothic"/>
          <w:sz w:val="22"/>
          <w:szCs w:val="22"/>
        </w:rPr>
        <w:t xml:space="preserve"> – refers to the individual, budgeted categories of expense within the overall category of expense.  For example, “Community Life” has the following, budgeted accounts, “After Service BBQs,” “Volunteer Appreciation Lunch,” “Membership,” etc.</w:t>
      </w:r>
    </w:p>
    <w:p w:rsidR="00142C55" w:rsidRPr="00564264" w:rsidRDefault="00142C55" w:rsidP="00536B91">
      <w:pPr>
        <w:rPr>
          <w:rFonts w:ascii="Century Gothic" w:hAnsi="Century Gothic"/>
          <w:sz w:val="22"/>
          <w:szCs w:val="22"/>
        </w:rPr>
      </w:pPr>
    </w:p>
    <w:p w:rsidR="00650E72" w:rsidRPr="00564264" w:rsidRDefault="00650E72" w:rsidP="00536B91">
      <w:pPr>
        <w:rPr>
          <w:rFonts w:ascii="Century Gothic" w:hAnsi="Century Gothic"/>
          <w:sz w:val="22"/>
          <w:szCs w:val="22"/>
        </w:rPr>
      </w:pPr>
      <w:r w:rsidRPr="00564264">
        <w:rPr>
          <w:rFonts w:ascii="Century Gothic" w:hAnsi="Century Gothic"/>
          <w:b/>
          <w:sz w:val="22"/>
          <w:szCs w:val="22"/>
        </w:rPr>
        <w:t>NOTE:</w:t>
      </w:r>
      <w:r w:rsidRPr="00564264">
        <w:rPr>
          <w:rFonts w:ascii="Century Gothic" w:hAnsi="Century Gothic"/>
          <w:sz w:val="22"/>
          <w:szCs w:val="22"/>
        </w:rPr>
        <w:t xml:space="preserve"> For larger purchases, it is advisable to contact Nina Cherian for purchase assistance at </w:t>
      </w:r>
      <w:hyperlink r:id="rId11" w:history="1">
        <w:r w:rsidRPr="00564264">
          <w:rPr>
            <w:rStyle w:val="Hyperlink"/>
            <w:rFonts w:ascii="Century Gothic" w:hAnsi="Century Gothic"/>
            <w:sz w:val="22"/>
            <w:szCs w:val="22"/>
          </w:rPr>
          <w:t>office@thenewcom.com</w:t>
        </w:r>
      </w:hyperlink>
      <w:r w:rsidRPr="00564264">
        <w:rPr>
          <w:rFonts w:ascii="Century Gothic" w:hAnsi="Century Gothic"/>
          <w:sz w:val="22"/>
          <w:szCs w:val="22"/>
        </w:rPr>
        <w:t xml:space="preserve">. For purchase approvals or to have specific questions answered, please email Arwa Hunsucker at </w:t>
      </w:r>
      <w:hyperlink r:id="rId12" w:history="1">
        <w:r w:rsidRPr="00564264">
          <w:rPr>
            <w:rStyle w:val="Hyperlink"/>
            <w:rFonts w:ascii="Century Gothic" w:hAnsi="Century Gothic"/>
            <w:sz w:val="22"/>
            <w:szCs w:val="22"/>
          </w:rPr>
          <w:t>finance@thenewcom.com</w:t>
        </w:r>
      </w:hyperlink>
      <w:r w:rsidRPr="00564264">
        <w:rPr>
          <w:rFonts w:ascii="Century Gothic" w:hAnsi="Century Gothic"/>
          <w:sz w:val="22"/>
          <w:szCs w:val="22"/>
        </w:rPr>
        <w:t>.</w:t>
      </w:r>
    </w:p>
    <w:p w:rsidR="00650E72" w:rsidRDefault="00650E72" w:rsidP="00536B91"/>
    <w:sectPr w:rsidR="00650E72" w:rsidSect="00002699">
      <w:headerReference w:type="even" r:id="rId13"/>
      <w:headerReference w:type="default" r:id="rId14"/>
      <w:footerReference w:type="default" r:id="rId15"/>
      <w:headerReference w:type="first" r:id="rId16"/>
      <w:footerReference w:type="first" r:id="rId17"/>
      <w:type w:val="continuous"/>
      <w:pgSz w:w="12240" w:h="15840" w:code="1"/>
      <w:pgMar w:top="1440" w:right="1800" w:bottom="1440" w:left="1800" w:header="960" w:footer="96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C95" w:rsidRDefault="00285C95">
      <w:r>
        <w:separator/>
      </w:r>
    </w:p>
  </w:endnote>
  <w:endnote w:type="continuationSeparator" w:id="1">
    <w:p w:rsidR="00285C95" w:rsidRDefault="00285C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264" w:rsidRDefault="00564264">
    <w:pPr>
      <w:pStyle w:val="Footer"/>
    </w:pPr>
    <w:r>
      <w:t>Updated 08/08/10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1B1" w:rsidRDefault="008221B1">
    <w:pPr>
      <w:pStyle w:val="Footer"/>
    </w:pPr>
    <w:r>
      <w:t>Updated 08/0</w:t>
    </w:r>
    <w:r w:rsidR="00564264">
      <w:t>8</w:t>
    </w:r>
    <w:r>
      <w:t>/10</w:t>
    </w:r>
  </w:p>
  <w:p w:rsidR="008221B1" w:rsidRDefault="008221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C95" w:rsidRDefault="00285C95">
      <w:r>
        <w:separator/>
      </w:r>
    </w:p>
  </w:footnote>
  <w:footnote w:type="continuationSeparator" w:id="1">
    <w:p w:rsidR="00285C95" w:rsidRDefault="00285C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173" w:rsidRDefault="009C5A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232176" o:spid="_x0000_s2050" type="#_x0000_t136" style="position:absolute;left:0;text-align:left;margin-left:0;margin-top:0;width:435.05pt;height:174pt;rotation:315;z-index:-251654144;mso-position-horizontal:center;mso-position-horizontal-relative:margin;mso-position-vertical:center;mso-position-vertical-relative:margin" o:allowincell="f" fillcolor="#d8d8d8 [2732]" stroked="f">
          <v:textpath style="font-family:&quot;Arial&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D5F" w:rsidRDefault="009C5A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232177" o:spid="_x0000_s2051" type="#_x0000_t136" style="position:absolute;left:0;text-align:left;margin-left:0;margin-top:0;width:435.05pt;height:174pt;rotation:315;z-index:-251652096;mso-position-horizontal:center;mso-position-horizontal-relative:margin;mso-position-vertical:center;mso-position-vertical-relative:margin" o:allowincell="f" fillcolor="#d8d8d8 [2732]" stroked="f">
          <v:textpath style="font-family:&quot;Arial&quot;;font-size:1pt" string="DRAFT"/>
          <w10:wrap anchorx="margin" anchory="margin"/>
        </v:shape>
      </w:pict>
    </w:r>
    <w:r w:rsidR="001C4D5F">
      <w:sym w:font="Wingdings" w:char="F06C"/>
    </w:r>
    <w:r w:rsidR="001C4D5F">
      <w:t xml:space="preserve">  Page </w:t>
    </w:r>
    <w:fldSimple w:instr=" PAGE \* Arabic \* MERGEFORMAT ">
      <w:r w:rsidR="00032C8F">
        <w:rPr>
          <w:noProof/>
        </w:rPr>
        <w:t>2</w:t>
      </w:r>
    </w:fldSimple>
    <w:r w:rsidR="001C4D5F">
      <w:tab/>
    </w:r>
    <w:r w:rsidR="001C4D5F">
      <w:tab/>
    </w:r>
    <w:fldSimple w:instr=" TIME \@ &quot;MMMM d, yyyy&quot; ">
      <w:r w:rsidR="008E20A4">
        <w:rPr>
          <w:noProof/>
        </w:rPr>
        <w:t>August 9, 2010</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173" w:rsidRDefault="009C5A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232175" o:spid="_x0000_s2049" type="#_x0000_t136" style="position:absolute;left:0;text-align:left;margin-left:0;margin-top:0;width:435.05pt;height:174pt;rotation:315;z-index:-251656192;mso-position-horizontal:center;mso-position-horizontal-relative:margin;mso-position-vertical:center;mso-position-vertical-relative:margin" o:allowincell="f" fillcolor="#d8d8d8 [2732]" stroked="f">
          <v:textpath style="font-family:&quot;Arial&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C6FB6"/>
    <w:multiLevelType w:val="hybridMultilevel"/>
    <w:tmpl w:val="2E8AB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803E49"/>
    <w:multiLevelType w:val="hybridMultilevel"/>
    <w:tmpl w:val="26AE3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8C3E9E"/>
    <w:multiLevelType w:val="singleLevel"/>
    <w:tmpl w:val="37E252A4"/>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3">
    <w:nsid w:val="36BE4A87"/>
    <w:multiLevelType w:val="hybridMultilevel"/>
    <w:tmpl w:val="B9102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881138"/>
    <w:multiLevelType w:val="hybridMultilevel"/>
    <w:tmpl w:val="911A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806A9F"/>
    <w:multiLevelType w:val="hybridMultilevel"/>
    <w:tmpl w:val="60E2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230FF8"/>
    <w:multiLevelType w:val="singleLevel"/>
    <w:tmpl w:val="CA8A963A"/>
    <w:lvl w:ilvl="0">
      <w:start w:val="1"/>
      <w:numFmt w:val="decimal"/>
      <w:pStyle w:val="ListNumber"/>
      <w:lvlText w:val="%1)"/>
      <w:lvlJc w:val="left"/>
      <w:pPr>
        <w:tabs>
          <w:tab w:val="num" w:pos="360"/>
        </w:tabs>
        <w:ind w:left="360" w:right="360" w:hanging="360"/>
      </w:pPr>
    </w:lvl>
  </w:abstractNum>
  <w:num w:numId="1">
    <w:abstractNumId w:val="2"/>
  </w:num>
  <w:num w:numId="2">
    <w:abstractNumId w:val="6"/>
  </w:num>
  <w:num w:numId="3">
    <w:abstractNumId w:val="4"/>
  </w:num>
  <w:num w:numId="4">
    <w:abstractNumId w:val="0"/>
  </w:num>
  <w:num w:numId="5">
    <w:abstractNumId w:val="3"/>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attachedTemplate r:id="rId1"/>
  <w:stylePaneFormatFilter w:val="3F0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13314"/>
    <o:shapelayout v:ext="edit">
      <o:idmap v:ext="edit" data="2"/>
    </o:shapelayout>
  </w:hdrShapeDefaults>
  <w:footnotePr>
    <w:footnote w:id="0"/>
    <w:footnote w:id="1"/>
  </w:footnotePr>
  <w:endnotePr>
    <w:endnote w:id="0"/>
    <w:endnote w:id="1"/>
  </w:endnotePr>
  <w:compat/>
  <w:rsids>
    <w:rsidRoot w:val="00536B91"/>
    <w:rsid w:val="00002699"/>
    <w:rsid w:val="00032C8F"/>
    <w:rsid w:val="00043105"/>
    <w:rsid w:val="000A1173"/>
    <w:rsid w:val="000E64B7"/>
    <w:rsid w:val="000F43A4"/>
    <w:rsid w:val="00104A2A"/>
    <w:rsid w:val="00142C55"/>
    <w:rsid w:val="001C4D5F"/>
    <w:rsid w:val="001F5E07"/>
    <w:rsid w:val="00285C95"/>
    <w:rsid w:val="002D52FF"/>
    <w:rsid w:val="00304E1F"/>
    <w:rsid w:val="003205CA"/>
    <w:rsid w:val="00353950"/>
    <w:rsid w:val="003637AE"/>
    <w:rsid w:val="00393433"/>
    <w:rsid w:val="003F568B"/>
    <w:rsid w:val="004974FC"/>
    <w:rsid w:val="004C75B4"/>
    <w:rsid w:val="00536B91"/>
    <w:rsid w:val="00564264"/>
    <w:rsid w:val="0063130F"/>
    <w:rsid w:val="006366A0"/>
    <w:rsid w:val="00650E72"/>
    <w:rsid w:val="007139D4"/>
    <w:rsid w:val="0074608C"/>
    <w:rsid w:val="007A00B8"/>
    <w:rsid w:val="008221B1"/>
    <w:rsid w:val="008E20A4"/>
    <w:rsid w:val="00975EA9"/>
    <w:rsid w:val="00992FA0"/>
    <w:rsid w:val="009A3B8A"/>
    <w:rsid w:val="009C5AEA"/>
    <w:rsid w:val="009F6640"/>
    <w:rsid w:val="00A214F0"/>
    <w:rsid w:val="00AA047D"/>
    <w:rsid w:val="00AA2FF4"/>
    <w:rsid w:val="00B04670"/>
    <w:rsid w:val="00B9714E"/>
    <w:rsid w:val="00BF1207"/>
    <w:rsid w:val="00BF63C1"/>
    <w:rsid w:val="00C3009F"/>
    <w:rsid w:val="00C3049C"/>
    <w:rsid w:val="00C539FA"/>
    <w:rsid w:val="00C61378"/>
    <w:rsid w:val="00D70542"/>
    <w:rsid w:val="00DB17EB"/>
    <w:rsid w:val="00E01C42"/>
    <w:rsid w:val="00E40A68"/>
    <w:rsid w:val="00E62561"/>
    <w:rsid w:val="00ED2994"/>
    <w:rsid w:val="00FF0D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2699"/>
    <w:pPr>
      <w:jc w:val="both"/>
    </w:pPr>
    <w:rPr>
      <w:rFonts w:ascii="Arial" w:hAnsi="Arial"/>
      <w:spacing w:val="-5"/>
    </w:rPr>
  </w:style>
  <w:style w:type="paragraph" w:styleId="Heading1">
    <w:name w:val="heading 1"/>
    <w:basedOn w:val="HeadingBase"/>
    <w:next w:val="BodyText"/>
    <w:qFormat/>
    <w:rsid w:val="00002699"/>
    <w:pPr>
      <w:spacing w:after="220"/>
      <w:jc w:val="left"/>
      <w:outlineLvl w:val="0"/>
    </w:pPr>
  </w:style>
  <w:style w:type="paragraph" w:styleId="Heading2">
    <w:name w:val="heading 2"/>
    <w:basedOn w:val="HeadingBase"/>
    <w:next w:val="BodyText"/>
    <w:qFormat/>
    <w:rsid w:val="00002699"/>
    <w:pPr>
      <w:jc w:val="left"/>
      <w:outlineLvl w:val="1"/>
    </w:pPr>
    <w:rPr>
      <w:sz w:val="18"/>
    </w:rPr>
  </w:style>
  <w:style w:type="paragraph" w:styleId="Heading3">
    <w:name w:val="heading 3"/>
    <w:basedOn w:val="HeadingBase"/>
    <w:next w:val="BodyText"/>
    <w:qFormat/>
    <w:rsid w:val="00002699"/>
    <w:pPr>
      <w:spacing w:after="220"/>
      <w:jc w:val="left"/>
      <w:outlineLvl w:val="2"/>
    </w:pPr>
    <w:rPr>
      <w:rFonts w:ascii="Arial" w:hAnsi="Arial"/>
      <w:sz w:val="22"/>
    </w:rPr>
  </w:style>
  <w:style w:type="paragraph" w:styleId="Heading4">
    <w:name w:val="heading 4"/>
    <w:basedOn w:val="HeadingBase"/>
    <w:next w:val="BodyText"/>
    <w:qFormat/>
    <w:rsid w:val="00002699"/>
    <w:pPr>
      <w:ind w:left="360"/>
      <w:outlineLvl w:val="3"/>
    </w:pPr>
    <w:rPr>
      <w:spacing w:val="-5"/>
      <w:sz w:val="18"/>
    </w:rPr>
  </w:style>
  <w:style w:type="paragraph" w:styleId="Heading5">
    <w:name w:val="heading 5"/>
    <w:basedOn w:val="HeadingBase"/>
    <w:next w:val="BodyText"/>
    <w:qFormat/>
    <w:rsid w:val="00002699"/>
    <w:pPr>
      <w:ind w:left="720"/>
      <w:outlineLvl w:val="4"/>
    </w:pPr>
    <w:rPr>
      <w:spacing w:val="-5"/>
      <w:sz w:val="18"/>
    </w:rPr>
  </w:style>
  <w:style w:type="paragraph" w:styleId="Heading6">
    <w:name w:val="heading 6"/>
    <w:basedOn w:val="HeadingBase"/>
    <w:next w:val="BodyText"/>
    <w:qFormat/>
    <w:rsid w:val="00002699"/>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rsid w:val="00002699"/>
    <w:pPr>
      <w:spacing w:before="220" w:after="220" w:line="220" w:lineRule="atLeast"/>
    </w:pPr>
  </w:style>
  <w:style w:type="paragraph" w:styleId="Salutation">
    <w:name w:val="Salutation"/>
    <w:basedOn w:val="Normal"/>
    <w:next w:val="SubjectLine"/>
    <w:rsid w:val="00002699"/>
    <w:pPr>
      <w:spacing w:before="220" w:after="220" w:line="220" w:lineRule="atLeast"/>
      <w:jc w:val="left"/>
    </w:pPr>
  </w:style>
  <w:style w:type="paragraph" w:styleId="BodyText">
    <w:name w:val="Body Text"/>
    <w:basedOn w:val="Normal"/>
    <w:rsid w:val="00002699"/>
    <w:pPr>
      <w:spacing w:after="220" w:line="220" w:lineRule="atLeast"/>
    </w:pPr>
  </w:style>
  <w:style w:type="paragraph" w:customStyle="1" w:styleId="CcList">
    <w:name w:val="Cc List"/>
    <w:basedOn w:val="Normal"/>
    <w:rsid w:val="00002699"/>
    <w:pPr>
      <w:keepLines/>
      <w:spacing w:line="220" w:lineRule="atLeast"/>
      <w:ind w:left="360" w:hanging="360"/>
    </w:pPr>
  </w:style>
  <w:style w:type="paragraph" w:styleId="Closing">
    <w:name w:val="Closing"/>
    <w:basedOn w:val="Normal"/>
    <w:next w:val="Signature"/>
    <w:rsid w:val="00002699"/>
    <w:pPr>
      <w:keepNext/>
      <w:spacing w:after="60" w:line="220" w:lineRule="atLeast"/>
    </w:pPr>
  </w:style>
  <w:style w:type="paragraph" w:styleId="Signature">
    <w:name w:val="Signature"/>
    <w:basedOn w:val="Normal"/>
    <w:next w:val="SignatureJobTitle"/>
    <w:rsid w:val="00002699"/>
    <w:pPr>
      <w:keepNext/>
      <w:spacing w:before="880" w:line="220" w:lineRule="atLeast"/>
      <w:jc w:val="left"/>
    </w:pPr>
  </w:style>
  <w:style w:type="paragraph" w:customStyle="1" w:styleId="CompanyName">
    <w:name w:val="Company Name"/>
    <w:basedOn w:val="Normal"/>
    <w:rsid w:val="00002699"/>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rsid w:val="00002699"/>
    <w:pPr>
      <w:spacing w:after="220" w:line="220" w:lineRule="atLeast"/>
    </w:pPr>
  </w:style>
  <w:style w:type="character" w:styleId="Emphasis">
    <w:name w:val="Emphasis"/>
    <w:qFormat/>
    <w:rsid w:val="00002699"/>
    <w:rPr>
      <w:rFonts w:ascii="Arial Black" w:hAnsi="Arial Black"/>
      <w:sz w:val="18"/>
    </w:rPr>
  </w:style>
  <w:style w:type="paragraph" w:customStyle="1" w:styleId="Enclosure">
    <w:name w:val="Enclosure"/>
    <w:basedOn w:val="Normal"/>
    <w:next w:val="CcList"/>
    <w:rsid w:val="00002699"/>
    <w:pPr>
      <w:keepNext/>
      <w:keepLines/>
      <w:spacing w:after="220" w:line="220" w:lineRule="atLeast"/>
    </w:pPr>
  </w:style>
  <w:style w:type="paragraph" w:customStyle="1" w:styleId="HeadingBase">
    <w:name w:val="Heading Base"/>
    <w:basedOn w:val="Normal"/>
    <w:next w:val="BodyText"/>
    <w:rsid w:val="00002699"/>
    <w:pPr>
      <w:keepNext/>
      <w:keepLines/>
      <w:spacing w:line="220" w:lineRule="atLeast"/>
    </w:pPr>
    <w:rPr>
      <w:rFonts w:ascii="Arial Black" w:hAnsi="Arial Black"/>
      <w:spacing w:val="-10"/>
      <w:kern w:val="20"/>
    </w:rPr>
  </w:style>
  <w:style w:type="paragraph" w:customStyle="1" w:styleId="InsideAddress">
    <w:name w:val="Inside Address"/>
    <w:basedOn w:val="Normal"/>
    <w:rsid w:val="00002699"/>
    <w:pPr>
      <w:spacing w:line="220" w:lineRule="atLeast"/>
    </w:pPr>
  </w:style>
  <w:style w:type="paragraph" w:customStyle="1" w:styleId="InsideAddressName">
    <w:name w:val="Inside Address Name"/>
    <w:basedOn w:val="InsideAddress"/>
    <w:next w:val="InsideAddress"/>
    <w:rsid w:val="00002699"/>
    <w:pPr>
      <w:spacing w:before="220"/>
    </w:pPr>
  </w:style>
  <w:style w:type="paragraph" w:customStyle="1" w:styleId="MailingInstructions">
    <w:name w:val="Mailing Instructions"/>
    <w:basedOn w:val="Normal"/>
    <w:next w:val="InsideAddressName"/>
    <w:rsid w:val="00002699"/>
    <w:pPr>
      <w:spacing w:after="220" w:line="220" w:lineRule="atLeast"/>
    </w:pPr>
    <w:rPr>
      <w:caps/>
    </w:rPr>
  </w:style>
  <w:style w:type="paragraph" w:customStyle="1" w:styleId="ReferenceInitials">
    <w:name w:val="Reference Initials"/>
    <w:basedOn w:val="Normal"/>
    <w:next w:val="Enclosure"/>
    <w:rsid w:val="00002699"/>
    <w:pPr>
      <w:keepNext/>
      <w:keepLines/>
      <w:spacing w:before="220" w:line="220" w:lineRule="atLeast"/>
    </w:pPr>
  </w:style>
  <w:style w:type="paragraph" w:customStyle="1" w:styleId="ReferenceLine">
    <w:name w:val="Reference Line"/>
    <w:basedOn w:val="Normal"/>
    <w:next w:val="MailingInstructions"/>
    <w:rsid w:val="00002699"/>
    <w:pPr>
      <w:spacing w:after="220" w:line="220" w:lineRule="atLeast"/>
      <w:jc w:val="left"/>
    </w:pPr>
  </w:style>
  <w:style w:type="paragraph" w:customStyle="1" w:styleId="ReturnAddress">
    <w:name w:val="Return Address"/>
    <w:basedOn w:val="Normal"/>
    <w:rsid w:val="00002699"/>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rsid w:val="00002699"/>
    <w:pPr>
      <w:spacing w:before="0"/>
    </w:pPr>
  </w:style>
  <w:style w:type="paragraph" w:customStyle="1" w:styleId="SignatureJobTitle">
    <w:name w:val="Signature Job Title"/>
    <w:basedOn w:val="Signature"/>
    <w:next w:val="SignatureCompany"/>
    <w:rsid w:val="00002699"/>
    <w:pPr>
      <w:spacing w:before="0"/>
    </w:pPr>
  </w:style>
  <w:style w:type="character" w:customStyle="1" w:styleId="Slogan">
    <w:name w:val="Slogan"/>
    <w:basedOn w:val="DefaultParagraphFont"/>
    <w:rsid w:val="00002699"/>
    <w:rPr>
      <w:rFonts w:ascii="Arial Black" w:hAnsi="Arial Black"/>
      <w:sz w:val="18"/>
    </w:rPr>
  </w:style>
  <w:style w:type="paragraph" w:customStyle="1" w:styleId="SubjectLine">
    <w:name w:val="Subject Line"/>
    <w:basedOn w:val="Normal"/>
    <w:next w:val="BodyText"/>
    <w:rsid w:val="00002699"/>
    <w:pPr>
      <w:spacing w:after="220" w:line="220" w:lineRule="atLeast"/>
      <w:jc w:val="left"/>
    </w:pPr>
    <w:rPr>
      <w:rFonts w:ascii="Arial Black" w:hAnsi="Arial Black"/>
      <w:spacing w:val="-10"/>
    </w:rPr>
  </w:style>
  <w:style w:type="paragraph" w:styleId="Header">
    <w:name w:val="header"/>
    <w:basedOn w:val="Normal"/>
    <w:rsid w:val="00002699"/>
    <w:pPr>
      <w:tabs>
        <w:tab w:val="center" w:pos="4320"/>
        <w:tab w:val="right" w:pos="8640"/>
      </w:tabs>
    </w:pPr>
  </w:style>
  <w:style w:type="paragraph" w:styleId="Footer">
    <w:name w:val="footer"/>
    <w:basedOn w:val="Normal"/>
    <w:link w:val="FooterChar"/>
    <w:uiPriority w:val="99"/>
    <w:rsid w:val="00002699"/>
    <w:pPr>
      <w:tabs>
        <w:tab w:val="center" w:pos="4320"/>
        <w:tab w:val="right" w:pos="8640"/>
      </w:tabs>
    </w:pPr>
  </w:style>
  <w:style w:type="paragraph" w:styleId="EnvelopeReturn">
    <w:name w:val="envelope return"/>
    <w:basedOn w:val="Normal"/>
    <w:rsid w:val="00002699"/>
    <w:pPr>
      <w:jc w:val="left"/>
    </w:pPr>
    <w:rPr>
      <w:rFonts w:cs="Arial"/>
      <w:spacing w:val="0"/>
    </w:rPr>
  </w:style>
  <w:style w:type="paragraph" w:styleId="List">
    <w:name w:val="List"/>
    <w:basedOn w:val="BodyText"/>
    <w:rsid w:val="00002699"/>
    <w:pPr>
      <w:ind w:left="360" w:hanging="360"/>
    </w:pPr>
  </w:style>
  <w:style w:type="paragraph" w:styleId="ListBullet">
    <w:name w:val="List Bullet"/>
    <w:basedOn w:val="List"/>
    <w:autoRedefine/>
    <w:rsid w:val="00002699"/>
    <w:pPr>
      <w:numPr>
        <w:numId w:val="1"/>
      </w:numPr>
    </w:pPr>
  </w:style>
  <w:style w:type="paragraph" w:styleId="ListNumber">
    <w:name w:val="List Number"/>
    <w:basedOn w:val="BodyText"/>
    <w:rsid w:val="00002699"/>
    <w:pPr>
      <w:numPr>
        <w:numId w:val="2"/>
      </w:numPr>
    </w:pPr>
  </w:style>
  <w:style w:type="character" w:styleId="Hyperlink">
    <w:name w:val="Hyperlink"/>
    <w:basedOn w:val="DefaultParagraphFont"/>
    <w:rsid w:val="00650E72"/>
    <w:rPr>
      <w:color w:val="0000FF" w:themeColor="hyperlink"/>
      <w:u w:val="single"/>
    </w:rPr>
  </w:style>
  <w:style w:type="character" w:customStyle="1" w:styleId="FooterChar">
    <w:name w:val="Footer Char"/>
    <w:basedOn w:val="DefaultParagraphFont"/>
    <w:link w:val="Footer"/>
    <w:uiPriority w:val="99"/>
    <w:rsid w:val="008221B1"/>
    <w:rPr>
      <w:rFonts w:ascii="Arial" w:hAnsi="Arial"/>
      <w:spacing w:val="-5"/>
    </w:rPr>
  </w:style>
  <w:style w:type="paragraph" w:styleId="BalloonText">
    <w:name w:val="Balloon Text"/>
    <w:basedOn w:val="Normal"/>
    <w:link w:val="BalloonTextChar"/>
    <w:rsid w:val="008221B1"/>
    <w:rPr>
      <w:rFonts w:ascii="Tahoma" w:hAnsi="Tahoma" w:cs="Tahoma"/>
      <w:sz w:val="16"/>
      <w:szCs w:val="16"/>
    </w:rPr>
  </w:style>
  <w:style w:type="character" w:customStyle="1" w:styleId="BalloonTextChar">
    <w:name w:val="Balloon Text Char"/>
    <w:basedOn w:val="DefaultParagraphFont"/>
    <w:link w:val="BalloonText"/>
    <w:rsid w:val="008221B1"/>
    <w:rPr>
      <w:rFonts w:ascii="Tahoma" w:hAnsi="Tahoma" w:cs="Tahoma"/>
      <w:spacing w:val="-5"/>
      <w:sz w:val="16"/>
      <w:szCs w:val="16"/>
    </w:rPr>
  </w:style>
  <w:style w:type="paragraph" w:styleId="ListParagraph">
    <w:name w:val="List Paragraph"/>
    <w:basedOn w:val="Normal"/>
    <w:uiPriority w:val="34"/>
    <w:qFormat/>
    <w:rsid w:val="00992FA0"/>
    <w:pPr>
      <w:ind w:left="720"/>
      <w:contextualSpacing/>
    </w:pPr>
  </w:style>
  <w:style w:type="character" w:styleId="FollowedHyperlink">
    <w:name w:val="FollowedHyperlink"/>
    <w:basedOn w:val="DefaultParagraphFont"/>
    <w:rsid w:val="00C539F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thenewcom.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thenewcom.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evenue.state.il.us/legalinformation/regs/part130/130-120.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inance@thenewcom.co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Professional%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F8255-155C-48EC-A5B6-6DA218EB6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Professional Letter</Template>
  <TotalTime>225</TotalTime>
  <Pages>3</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Professional Letter</vt:lpstr>
    </vt:vector>
  </TitlesOfParts>
  <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creator>tr!sh!a</dc:creator>
  <cp:lastModifiedBy>NC3 LT</cp:lastModifiedBy>
  <cp:revision>23</cp:revision>
  <cp:lastPrinted>2010-08-08T16:40:00Z</cp:lastPrinted>
  <dcterms:created xsi:type="dcterms:W3CDTF">2010-08-07T07:07:00Z</dcterms:created>
  <dcterms:modified xsi:type="dcterms:W3CDTF">2010-08-09T06:57:00Z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2000062900</vt:i4>
  </property>
  <property fmtid="{D5CDD505-2E9C-101B-9397-08002B2CF9AE}" pid="4" name="LCID">
    <vt:i4>1033</vt:i4>
  </property>
</Properties>
</file>